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466408" w:rsidRDefault="00AC5FE7" w:rsidP="00466408">
      <w:pPr>
        <w:pStyle w:val="Ttulo2"/>
        <w:keepLines w:val="0"/>
        <w:spacing w:before="0" w:line="240" w:lineRule="auto"/>
        <w:jc w:val="center"/>
        <w:rPr>
          <w:rFonts w:ascii="Arial" w:eastAsia="Times New Roman" w:hAnsi="Arial" w:cs="Arial"/>
          <w:b w:val="0"/>
          <w:color w:val="auto"/>
          <w:sz w:val="22"/>
          <w:szCs w:val="22"/>
        </w:rPr>
      </w:pPr>
      <w:r w:rsidRPr="00466408">
        <w:rPr>
          <w:rFonts w:ascii="Arial" w:eastAsia="Times New Roman" w:hAnsi="Arial" w:cs="Arial"/>
          <w:b w:val="0"/>
          <w:color w:val="auto"/>
          <w:sz w:val="22"/>
          <w:szCs w:val="22"/>
        </w:rPr>
        <w:t>PARECER DO CONSELHO FISCAL</w:t>
      </w: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pStyle w:val="Corpodetexto"/>
        <w:rPr>
          <w:rFonts w:ascii="Arial" w:hAnsi="Arial" w:cs="Arial"/>
          <w:sz w:val="22"/>
          <w:szCs w:val="22"/>
        </w:rPr>
      </w:pPr>
      <w:r w:rsidRPr="00F11EFC">
        <w:rPr>
          <w:rFonts w:ascii="Arial" w:hAnsi="Arial" w:cs="Arial"/>
          <w:sz w:val="22"/>
          <w:szCs w:val="22"/>
        </w:rPr>
        <w:t>O Conselho Fiscal da AGEFEPE, reunido ordinariamente</w:t>
      </w:r>
      <w:r w:rsidR="00B455AD">
        <w:rPr>
          <w:rFonts w:ascii="Arial" w:hAnsi="Arial" w:cs="Arial"/>
          <w:sz w:val="22"/>
          <w:szCs w:val="22"/>
        </w:rPr>
        <w:t>, nos termos do parágrafo p</w:t>
      </w:r>
      <w:r w:rsidR="00F15828">
        <w:rPr>
          <w:rFonts w:ascii="Arial" w:hAnsi="Arial" w:cs="Arial"/>
          <w:sz w:val="22"/>
          <w:szCs w:val="22"/>
        </w:rPr>
        <w:t>rimeiro do artigo 56 do Estatuto</w:t>
      </w:r>
      <w:r w:rsidR="00B455AD">
        <w:rPr>
          <w:rFonts w:ascii="Arial" w:hAnsi="Arial" w:cs="Arial"/>
          <w:sz w:val="22"/>
          <w:szCs w:val="22"/>
        </w:rPr>
        <w:t xml:space="preserve"> Social,</w:t>
      </w:r>
      <w:r w:rsidRPr="00F11EFC">
        <w:rPr>
          <w:rFonts w:ascii="Arial" w:hAnsi="Arial" w:cs="Arial"/>
          <w:sz w:val="22"/>
          <w:szCs w:val="22"/>
        </w:rPr>
        <w:t xml:space="preserve"> nesta data, por seus membros abaixo assinados, </w:t>
      </w:r>
      <w:r w:rsidR="00B455AD">
        <w:rPr>
          <w:rFonts w:ascii="Arial" w:hAnsi="Arial" w:cs="Arial"/>
          <w:sz w:val="22"/>
          <w:szCs w:val="22"/>
        </w:rPr>
        <w:t>atendendo ao que dispõe o artigo 163, inciso II e VII da lei federal 6404/76, vem apresentar</w:t>
      </w:r>
      <w:r w:rsidRPr="00F11EFC">
        <w:rPr>
          <w:rFonts w:ascii="Arial" w:hAnsi="Arial" w:cs="Arial"/>
          <w:sz w:val="22"/>
          <w:szCs w:val="22"/>
        </w:rPr>
        <w:t xml:space="preserve"> parecer sobre o </w:t>
      </w:r>
      <w:r w:rsidR="00460CA3">
        <w:rPr>
          <w:rFonts w:ascii="Arial" w:hAnsi="Arial" w:cs="Arial"/>
          <w:sz w:val="22"/>
          <w:szCs w:val="22"/>
        </w:rPr>
        <w:t>Balanço encerrado em 31</w:t>
      </w:r>
      <w:r w:rsidRPr="00F11EFC">
        <w:rPr>
          <w:rFonts w:ascii="Arial" w:hAnsi="Arial" w:cs="Arial"/>
          <w:sz w:val="22"/>
          <w:szCs w:val="22"/>
        </w:rPr>
        <w:t xml:space="preserve"> de </w:t>
      </w:r>
      <w:r w:rsidR="00460CA3">
        <w:rPr>
          <w:rFonts w:ascii="Arial" w:hAnsi="Arial" w:cs="Arial"/>
          <w:sz w:val="22"/>
          <w:szCs w:val="22"/>
        </w:rPr>
        <w:t>dezembro de 2016</w:t>
      </w:r>
      <w:r w:rsidRPr="00F11EFC">
        <w:rPr>
          <w:rFonts w:ascii="Arial" w:hAnsi="Arial" w:cs="Arial"/>
          <w:sz w:val="22"/>
          <w:szCs w:val="22"/>
        </w:rPr>
        <w:t>, bem</w:t>
      </w:r>
      <w:r w:rsidR="00B455AD">
        <w:rPr>
          <w:rFonts w:ascii="Arial" w:hAnsi="Arial" w:cs="Arial"/>
          <w:sz w:val="22"/>
          <w:szCs w:val="22"/>
        </w:rPr>
        <w:t xml:space="preserve"> como demonstrações financeiras e relatório da Administração,</w:t>
      </w:r>
      <w:r w:rsidRPr="00F11EFC">
        <w:rPr>
          <w:rFonts w:ascii="Arial" w:hAnsi="Arial" w:cs="Arial"/>
          <w:sz w:val="22"/>
          <w:szCs w:val="22"/>
        </w:rPr>
        <w:t xml:space="preserve"> </w:t>
      </w:r>
      <w:r w:rsidR="00B455AD">
        <w:rPr>
          <w:rFonts w:ascii="Arial" w:hAnsi="Arial" w:cs="Arial"/>
          <w:sz w:val="22"/>
          <w:szCs w:val="22"/>
        </w:rPr>
        <w:t xml:space="preserve">além de </w:t>
      </w:r>
      <w:r w:rsidRPr="00F11EFC">
        <w:rPr>
          <w:rFonts w:ascii="Arial" w:hAnsi="Arial" w:cs="Arial"/>
          <w:sz w:val="22"/>
          <w:szCs w:val="22"/>
        </w:rPr>
        <w:t>documentos contábeis, operações ativas e passivas, saldos e procedimentos, relativos ao mesmo período, depois de tudo visto e exa</w:t>
      </w:r>
      <w:r w:rsidRPr="00F15828">
        <w:rPr>
          <w:rFonts w:ascii="Arial" w:hAnsi="Arial" w:cs="Arial"/>
          <w:sz w:val="22"/>
          <w:szCs w:val="22"/>
        </w:rPr>
        <w:t xml:space="preserve">minado, </w:t>
      </w:r>
      <w:r w:rsidR="00121D46" w:rsidRPr="00F15828">
        <w:rPr>
          <w:rFonts w:ascii="Arial" w:hAnsi="Arial" w:cs="Arial"/>
          <w:sz w:val="22"/>
          <w:szCs w:val="22"/>
        </w:rPr>
        <w:t>constatou-se vultosa movimentação para Crédito de Liquidação Duvidosa no</w:t>
      </w:r>
      <w:r w:rsidR="00460CA3" w:rsidRPr="00F15828">
        <w:rPr>
          <w:rFonts w:ascii="Arial" w:hAnsi="Arial" w:cs="Arial"/>
          <w:sz w:val="22"/>
          <w:szCs w:val="22"/>
        </w:rPr>
        <w:t xml:space="preserve">s exercício de 2015 e 2016, </w:t>
      </w:r>
      <w:r w:rsidR="00121D46" w:rsidRPr="00F15828">
        <w:rPr>
          <w:rFonts w:ascii="Arial" w:hAnsi="Arial" w:cs="Arial"/>
          <w:sz w:val="22"/>
          <w:szCs w:val="22"/>
        </w:rPr>
        <w:t>que requer melhor análise da inadimplência para esclarecimento tempestivo do risco envolvido</w:t>
      </w:r>
      <w:r w:rsidR="00F15828" w:rsidRPr="00F15828">
        <w:rPr>
          <w:rFonts w:ascii="Arial" w:hAnsi="Arial" w:cs="Arial"/>
          <w:sz w:val="22"/>
          <w:szCs w:val="22"/>
        </w:rPr>
        <w:t>.</w:t>
      </w:r>
      <w:r w:rsidR="00F15828">
        <w:rPr>
          <w:rFonts w:ascii="Arial" w:hAnsi="Arial" w:cs="Arial"/>
          <w:sz w:val="22"/>
          <w:szCs w:val="22"/>
        </w:rPr>
        <w:t xml:space="preserve"> Portanto, recomenda que seja conferida</w:t>
      </w:r>
      <w:r w:rsidR="00A1174C">
        <w:rPr>
          <w:rFonts w:ascii="Arial" w:hAnsi="Arial" w:cs="Arial"/>
          <w:sz w:val="22"/>
          <w:szCs w:val="22"/>
        </w:rPr>
        <w:t xml:space="preserve"> </w:t>
      </w:r>
      <w:r w:rsidR="00F15828">
        <w:rPr>
          <w:rFonts w:ascii="Arial" w:hAnsi="Arial" w:cs="Arial"/>
          <w:sz w:val="22"/>
          <w:szCs w:val="22"/>
        </w:rPr>
        <w:t xml:space="preserve">especial atenção </w:t>
      </w:r>
      <w:r w:rsidR="00A1174C">
        <w:rPr>
          <w:rFonts w:ascii="Arial" w:hAnsi="Arial" w:cs="Arial"/>
          <w:sz w:val="22"/>
          <w:szCs w:val="22"/>
        </w:rPr>
        <w:t>à</w:t>
      </w:r>
      <w:r w:rsidR="00F15828">
        <w:rPr>
          <w:rFonts w:ascii="Arial" w:hAnsi="Arial" w:cs="Arial"/>
          <w:sz w:val="22"/>
          <w:szCs w:val="22"/>
        </w:rPr>
        <w:t xml:space="preserve">s políticas voltadas </w:t>
      </w:r>
      <w:r w:rsidR="00A1174C">
        <w:rPr>
          <w:rFonts w:ascii="Arial" w:hAnsi="Arial" w:cs="Arial"/>
          <w:sz w:val="22"/>
          <w:szCs w:val="22"/>
        </w:rPr>
        <w:t>à</w:t>
      </w:r>
      <w:r w:rsidR="00F15828">
        <w:rPr>
          <w:rFonts w:ascii="Arial" w:hAnsi="Arial" w:cs="Arial"/>
          <w:sz w:val="22"/>
          <w:szCs w:val="22"/>
        </w:rPr>
        <w:t xml:space="preserve"> Administração e Gestão de Risco. </w:t>
      </w:r>
      <w:r w:rsidR="00121D46">
        <w:rPr>
          <w:rFonts w:ascii="Arial" w:hAnsi="Arial" w:cs="Arial"/>
          <w:sz w:val="22"/>
          <w:szCs w:val="22"/>
        </w:rPr>
        <w:t>Essa constatação não impede contudo, enquanto se aguarda o esclarecimento, emita</w:t>
      </w:r>
      <w:r w:rsidRPr="00F11EFC">
        <w:rPr>
          <w:rFonts w:ascii="Arial" w:hAnsi="Arial" w:cs="Arial"/>
          <w:sz w:val="22"/>
          <w:szCs w:val="22"/>
        </w:rPr>
        <w:t xml:space="preserve"> o seguinte parecer: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11EFC">
        <w:rPr>
          <w:rFonts w:ascii="Arial" w:hAnsi="Arial" w:cs="Arial"/>
          <w:b/>
          <w:bCs/>
        </w:rPr>
        <w:t>“</w:t>
      </w:r>
      <w:r w:rsidR="00B455AD">
        <w:rPr>
          <w:rFonts w:ascii="Arial" w:hAnsi="Arial" w:cs="Arial"/>
          <w:b/>
          <w:bCs/>
        </w:rPr>
        <w:t xml:space="preserve">O Conselho de Fiscal, nos termos do artigo 163 inciso II e VII da lei federal 6404/76, após a constatação que as Demonstrações Financeiras, documentos contábeis e operacionais em conjunto com o relatório da Administração encontram-se dentro dos padrões estabelecidos pelas normas de contabilidade e pela legislação aplicável, opinamos </w:t>
      </w:r>
      <w:r w:rsidRPr="00F11EFC">
        <w:rPr>
          <w:rFonts w:ascii="Arial" w:hAnsi="Arial" w:cs="Arial"/>
          <w:b/>
          <w:bCs/>
        </w:rPr>
        <w:t>pela apro</w:t>
      </w:r>
      <w:r w:rsidR="00B455AD">
        <w:rPr>
          <w:rFonts w:ascii="Arial" w:hAnsi="Arial" w:cs="Arial"/>
          <w:b/>
          <w:bCs/>
        </w:rPr>
        <w:t>vação das</w:t>
      </w:r>
      <w:r w:rsidR="00460CA3">
        <w:rPr>
          <w:rFonts w:ascii="Arial" w:hAnsi="Arial" w:cs="Arial"/>
          <w:b/>
          <w:bCs/>
        </w:rPr>
        <w:t xml:space="preserve"> </w:t>
      </w:r>
      <w:r w:rsidR="00B455AD">
        <w:rPr>
          <w:rFonts w:ascii="Arial" w:hAnsi="Arial" w:cs="Arial"/>
          <w:b/>
          <w:bCs/>
        </w:rPr>
        <w:t>Demonstrações apresentadas</w:t>
      </w:r>
      <w:r w:rsidR="003274BB">
        <w:rPr>
          <w:rFonts w:ascii="Arial" w:hAnsi="Arial" w:cs="Arial"/>
          <w:b/>
          <w:bCs/>
        </w:rPr>
        <w:t xml:space="preserve"> e encerradas</w:t>
      </w:r>
      <w:r w:rsidR="00460CA3">
        <w:rPr>
          <w:rFonts w:ascii="Arial" w:hAnsi="Arial" w:cs="Arial"/>
          <w:b/>
          <w:bCs/>
        </w:rPr>
        <w:t xml:space="preserve"> em 31</w:t>
      </w:r>
      <w:r w:rsidRPr="00F11EFC">
        <w:rPr>
          <w:rFonts w:ascii="Arial" w:hAnsi="Arial" w:cs="Arial"/>
          <w:b/>
          <w:bCs/>
        </w:rPr>
        <w:t xml:space="preserve"> de </w:t>
      </w:r>
      <w:r w:rsidR="00460CA3">
        <w:rPr>
          <w:rFonts w:ascii="Arial" w:hAnsi="Arial" w:cs="Arial"/>
          <w:b/>
          <w:bCs/>
        </w:rPr>
        <w:t>dezembro de 2016</w:t>
      </w:r>
      <w:r w:rsidRPr="00F11EFC">
        <w:rPr>
          <w:rFonts w:ascii="Arial" w:hAnsi="Arial" w:cs="Arial"/>
          <w:b/>
          <w:bCs/>
        </w:rPr>
        <w:t>.”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Dê-se conhecimento deste parecer à Diretoria Executiva e ao Conselho de Administração.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Recife</w:t>
      </w:r>
      <w:r>
        <w:rPr>
          <w:rFonts w:ascii="Arial" w:hAnsi="Arial" w:cs="Arial"/>
        </w:rPr>
        <w:t>/</w:t>
      </w:r>
      <w:r w:rsidR="003274BB">
        <w:rPr>
          <w:rFonts w:ascii="Arial" w:hAnsi="Arial" w:cs="Arial"/>
        </w:rPr>
        <w:t>PE - 31</w:t>
      </w:r>
      <w:r w:rsidRPr="00F11EFC">
        <w:rPr>
          <w:rFonts w:ascii="Arial" w:hAnsi="Arial" w:cs="Arial"/>
        </w:rPr>
        <w:t xml:space="preserve"> de </w:t>
      </w:r>
      <w:r w:rsidR="003274BB">
        <w:rPr>
          <w:rFonts w:ascii="Arial" w:hAnsi="Arial" w:cs="Arial"/>
        </w:rPr>
        <w:t>janeiro</w:t>
      </w:r>
      <w:r w:rsidRPr="00F11EFC">
        <w:rPr>
          <w:rFonts w:ascii="Arial" w:hAnsi="Arial" w:cs="Arial"/>
        </w:rPr>
        <w:t xml:space="preserve"> de 201</w:t>
      </w:r>
      <w:r w:rsidR="00460CA3">
        <w:rPr>
          <w:rFonts w:ascii="Arial" w:hAnsi="Arial" w:cs="Arial"/>
        </w:rPr>
        <w:t>7</w:t>
      </w:r>
      <w:r w:rsidRPr="00F11EFC">
        <w:rPr>
          <w:rFonts w:ascii="Arial" w:hAnsi="Arial" w:cs="Arial"/>
        </w:rPr>
        <w:t>.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F15828" w:rsidRDefault="00F15828" w:rsidP="00F1582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Rubem Teixeira do Monte Filho</w:t>
      </w:r>
    </w:p>
    <w:p w:rsidR="00AC5FE7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F15828" w:rsidRPr="00F11EFC" w:rsidRDefault="00F15828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F15828" w:rsidRPr="00F11EFC" w:rsidRDefault="00F15828" w:rsidP="00F1582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William George </w:t>
      </w:r>
      <w:proofErr w:type="spellStart"/>
      <w:r>
        <w:rPr>
          <w:rFonts w:ascii="Arial" w:hAnsi="Arial" w:cs="Arial"/>
        </w:rPr>
        <w:t>Walmsley</w:t>
      </w:r>
      <w:proofErr w:type="spellEnd"/>
    </w:p>
    <w:p w:rsidR="00AC5FE7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Default="000421A1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Default="000421A1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Pr="00F11EFC" w:rsidRDefault="000421A1" w:rsidP="000421A1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F15828" w:rsidRPr="00F11EFC" w:rsidRDefault="00F15828" w:rsidP="00F1582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André Wilson de Queiroz Campos</w:t>
      </w:r>
    </w:p>
    <w:sectPr w:rsidR="00F15828" w:rsidRPr="00F11EFC" w:rsidSect="008E588A">
      <w:headerReference w:type="default" r:id="rId8"/>
      <w:footerReference w:type="default" r:id="rId9"/>
      <w:pgSz w:w="11906" w:h="16838"/>
      <w:pgMar w:top="1701" w:right="1134" w:bottom="1134" w:left="1701" w:header="709" w:footer="1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5AD" w:rsidRDefault="00B455AD" w:rsidP="00EC4499">
      <w:pPr>
        <w:spacing w:after="0" w:line="240" w:lineRule="auto"/>
      </w:pPr>
      <w:r>
        <w:separator/>
      </w:r>
    </w:p>
  </w:endnote>
  <w:endnote w:type="continuationSeparator" w:id="0">
    <w:p w:rsidR="00B455AD" w:rsidRDefault="00B455AD" w:rsidP="00EC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10" w:type="pct"/>
      <w:tblLook w:val="04A0" w:firstRow="1" w:lastRow="0" w:firstColumn="1" w:lastColumn="0" w:noHBand="0" w:noVBand="1"/>
    </w:tblPr>
    <w:tblGrid>
      <w:gridCol w:w="5613"/>
      <w:gridCol w:w="649"/>
      <w:gridCol w:w="1275"/>
      <w:gridCol w:w="1282"/>
      <w:gridCol w:w="301"/>
    </w:tblGrid>
    <w:tr w:rsidR="000421A1" w:rsidRPr="00B96E8A" w:rsidTr="000421A1">
      <w:trPr>
        <w:gridAfter w:val="1"/>
        <w:wAfter w:w="164" w:type="pct"/>
        <w:trHeight w:val="1333"/>
      </w:trPr>
      <w:tc>
        <w:tcPr>
          <w:tcW w:w="3077" w:type="pct"/>
        </w:tcPr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1758" w:type="pct"/>
          <w:gridSpan w:val="3"/>
        </w:tcPr>
        <w:p w:rsidR="000421A1" w:rsidRPr="00B96E8A" w:rsidRDefault="000421A1" w:rsidP="00913A77">
          <w:pPr>
            <w:pStyle w:val="Rodap"/>
          </w:pPr>
          <w:r w:rsidRPr="00450DE3">
            <w:rPr>
              <w:noProof/>
            </w:rPr>
            <w:drawing>
              <wp:inline distT="0" distB="0" distL="0" distR="0">
                <wp:extent cx="1800225" cy="785099"/>
                <wp:effectExtent l="19050" t="0" r="9525" b="0"/>
                <wp:docPr id="4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8806" cy="788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455AD" w:rsidRPr="00B96E8A" w:rsidTr="000421A1">
      <w:tblPrEx>
        <w:jc w:val="center"/>
      </w:tblPrEx>
      <w:trPr>
        <w:trHeight w:val="1209"/>
        <w:jc w:val="center"/>
      </w:trPr>
      <w:tc>
        <w:tcPr>
          <w:tcW w:w="3433" w:type="pct"/>
          <w:gridSpan w:val="2"/>
        </w:tcPr>
        <w:p w:rsidR="00B455AD" w:rsidRPr="00B96E8A" w:rsidRDefault="00B455AD" w:rsidP="00B96E8A">
          <w:pPr>
            <w:tabs>
              <w:tab w:val="left" w:pos="625"/>
            </w:tabs>
            <w:spacing w:after="0" w:line="288" w:lineRule="auto"/>
          </w:pPr>
        </w:p>
      </w:tc>
      <w:tc>
        <w:tcPr>
          <w:tcW w:w="699" w:type="pct"/>
        </w:tcPr>
        <w:p w:rsidR="00B455AD" w:rsidRPr="00B96E8A" w:rsidRDefault="00B455AD" w:rsidP="00B96E8A">
          <w:pPr>
            <w:pStyle w:val="Rodap"/>
            <w:jc w:val="right"/>
          </w:pPr>
        </w:p>
      </w:tc>
      <w:tc>
        <w:tcPr>
          <w:tcW w:w="869" w:type="pct"/>
          <w:gridSpan w:val="2"/>
        </w:tcPr>
        <w:p w:rsidR="00B455AD" w:rsidRPr="00B96E8A" w:rsidRDefault="00B455AD" w:rsidP="005E41FD">
          <w:pPr>
            <w:pStyle w:val="Rodap"/>
          </w:pPr>
        </w:p>
      </w:tc>
    </w:tr>
  </w:tbl>
  <w:p w:rsidR="00B455AD" w:rsidRDefault="00B455AD" w:rsidP="00EC44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5AD" w:rsidRDefault="00B455AD" w:rsidP="00EC4499">
      <w:pPr>
        <w:spacing w:after="0" w:line="240" w:lineRule="auto"/>
      </w:pPr>
      <w:r>
        <w:separator/>
      </w:r>
    </w:p>
  </w:footnote>
  <w:footnote w:type="continuationSeparator" w:id="0">
    <w:p w:rsidR="00B455AD" w:rsidRDefault="00B455AD" w:rsidP="00EC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6629"/>
      <w:gridCol w:w="2582"/>
    </w:tblGrid>
    <w:tr w:rsidR="00B455AD" w:rsidRPr="00B96E8A" w:rsidTr="00B96E8A">
      <w:tc>
        <w:tcPr>
          <w:tcW w:w="6629" w:type="dxa"/>
        </w:tcPr>
        <w:p w:rsidR="00B455AD" w:rsidRPr="00B96E8A" w:rsidRDefault="00B455AD" w:rsidP="00B96E8A">
          <w:pPr>
            <w:pStyle w:val="Cabealho"/>
            <w:jc w:val="center"/>
            <w:rPr>
              <w:sz w:val="24"/>
              <w:szCs w:val="24"/>
            </w:rPr>
          </w:pPr>
        </w:p>
      </w:tc>
      <w:tc>
        <w:tcPr>
          <w:tcW w:w="2582" w:type="dxa"/>
        </w:tcPr>
        <w:p w:rsidR="00B455AD" w:rsidRPr="00B96E8A" w:rsidRDefault="00B455AD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1371600" cy="409575"/>
                <wp:effectExtent l="19050" t="0" r="0" b="0"/>
                <wp:docPr id="1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 descr="Logomarca AGEFEP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455AD" w:rsidRDefault="00B455AD" w:rsidP="005E41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415953"/>
    <w:multiLevelType w:val="hybridMultilevel"/>
    <w:tmpl w:val="00CE1B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499"/>
    <w:rsid w:val="000421A1"/>
    <w:rsid w:val="000421C6"/>
    <w:rsid w:val="00046B9F"/>
    <w:rsid w:val="000A040E"/>
    <w:rsid w:val="000B7541"/>
    <w:rsid w:val="000C7392"/>
    <w:rsid w:val="000D6183"/>
    <w:rsid w:val="001056C9"/>
    <w:rsid w:val="00106CFD"/>
    <w:rsid w:val="00121D46"/>
    <w:rsid w:val="00127D03"/>
    <w:rsid w:val="00163E05"/>
    <w:rsid w:val="001747F3"/>
    <w:rsid w:val="001869A5"/>
    <w:rsid w:val="00192038"/>
    <w:rsid w:val="001B1A9B"/>
    <w:rsid w:val="0021426E"/>
    <w:rsid w:val="002259C7"/>
    <w:rsid w:val="00261C44"/>
    <w:rsid w:val="0026384D"/>
    <w:rsid w:val="00284F66"/>
    <w:rsid w:val="002919DB"/>
    <w:rsid w:val="003274BB"/>
    <w:rsid w:val="00390F2F"/>
    <w:rsid w:val="003A683D"/>
    <w:rsid w:val="003B4167"/>
    <w:rsid w:val="003C3D48"/>
    <w:rsid w:val="0041577B"/>
    <w:rsid w:val="00460CA3"/>
    <w:rsid w:val="00466408"/>
    <w:rsid w:val="00521411"/>
    <w:rsid w:val="00526743"/>
    <w:rsid w:val="00546C2D"/>
    <w:rsid w:val="00571325"/>
    <w:rsid w:val="00582528"/>
    <w:rsid w:val="005838F3"/>
    <w:rsid w:val="005E41FD"/>
    <w:rsid w:val="00604979"/>
    <w:rsid w:val="00655AA4"/>
    <w:rsid w:val="00663764"/>
    <w:rsid w:val="00673EED"/>
    <w:rsid w:val="006D3BD9"/>
    <w:rsid w:val="00721B0D"/>
    <w:rsid w:val="00761405"/>
    <w:rsid w:val="007707BB"/>
    <w:rsid w:val="0077265B"/>
    <w:rsid w:val="007801BE"/>
    <w:rsid w:val="007C6ACC"/>
    <w:rsid w:val="007D70A5"/>
    <w:rsid w:val="008308C6"/>
    <w:rsid w:val="00836ACE"/>
    <w:rsid w:val="0083701A"/>
    <w:rsid w:val="0083745F"/>
    <w:rsid w:val="00857913"/>
    <w:rsid w:val="00880421"/>
    <w:rsid w:val="008E588A"/>
    <w:rsid w:val="008F3D57"/>
    <w:rsid w:val="008F521C"/>
    <w:rsid w:val="00906AD6"/>
    <w:rsid w:val="00945263"/>
    <w:rsid w:val="00997B4D"/>
    <w:rsid w:val="00A0368D"/>
    <w:rsid w:val="00A1174C"/>
    <w:rsid w:val="00A223E0"/>
    <w:rsid w:val="00A7449D"/>
    <w:rsid w:val="00A97329"/>
    <w:rsid w:val="00AC5FE7"/>
    <w:rsid w:val="00B455AD"/>
    <w:rsid w:val="00B86183"/>
    <w:rsid w:val="00B96E8A"/>
    <w:rsid w:val="00C91350"/>
    <w:rsid w:val="00C96801"/>
    <w:rsid w:val="00CC6DD5"/>
    <w:rsid w:val="00D12FE2"/>
    <w:rsid w:val="00D36E08"/>
    <w:rsid w:val="00D36F24"/>
    <w:rsid w:val="00D42BE7"/>
    <w:rsid w:val="00D47D7D"/>
    <w:rsid w:val="00D6041B"/>
    <w:rsid w:val="00DA0B21"/>
    <w:rsid w:val="00DD29DA"/>
    <w:rsid w:val="00DD57D9"/>
    <w:rsid w:val="00DD64AA"/>
    <w:rsid w:val="00DE4D9E"/>
    <w:rsid w:val="00DF228B"/>
    <w:rsid w:val="00E07D2C"/>
    <w:rsid w:val="00E12241"/>
    <w:rsid w:val="00E418B3"/>
    <w:rsid w:val="00EA7D60"/>
    <w:rsid w:val="00EB4E00"/>
    <w:rsid w:val="00EC4499"/>
    <w:rsid w:val="00EE371C"/>
    <w:rsid w:val="00F15828"/>
    <w:rsid w:val="00F6494B"/>
    <w:rsid w:val="00F8188E"/>
    <w:rsid w:val="00F9704A"/>
    <w:rsid w:val="00FE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CFF07CCA-9E1E-4E18-B82E-20D8E731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4AA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AC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6494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499"/>
  </w:style>
  <w:style w:type="paragraph" w:styleId="Rodap">
    <w:name w:val="footer"/>
    <w:basedOn w:val="Normal"/>
    <w:link w:val="Rodap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499"/>
  </w:style>
  <w:style w:type="paragraph" w:styleId="Textodebalo">
    <w:name w:val="Balloon Text"/>
    <w:basedOn w:val="Normal"/>
    <w:link w:val="TextodebaloChar"/>
    <w:uiPriority w:val="99"/>
    <w:semiHidden/>
    <w:unhideWhenUsed/>
    <w:rsid w:val="00EC44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C44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C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E588A"/>
    <w:rPr>
      <w:color w:val="0000FF"/>
      <w:u w:val="single"/>
    </w:rPr>
  </w:style>
  <w:style w:type="character" w:styleId="Forte">
    <w:name w:val="Strong"/>
    <w:uiPriority w:val="99"/>
    <w:qFormat/>
    <w:rsid w:val="00FE010A"/>
    <w:rPr>
      <w:rFonts w:cs="Times New Roman"/>
      <w:b/>
      <w:bCs/>
    </w:rPr>
  </w:style>
  <w:style w:type="paragraph" w:customStyle="1" w:styleId="PargrafodaLista1">
    <w:name w:val="Parágrafo da Lista1"/>
    <w:basedOn w:val="Normal"/>
    <w:uiPriority w:val="99"/>
    <w:qFormat/>
    <w:rsid w:val="00FE010A"/>
    <w:pPr>
      <w:ind w:left="720"/>
      <w:contextualSpacing/>
    </w:pPr>
    <w:rPr>
      <w:lang w:eastAsia="en-US"/>
    </w:rPr>
  </w:style>
  <w:style w:type="paragraph" w:customStyle="1" w:styleId="SemEspaamento1">
    <w:name w:val="Sem Espaçamento1"/>
    <w:uiPriority w:val="99"/>
    <w:qFormat/>
    <w:rsid w:val="00FE010A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FE010A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E010A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FE010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rsid w:val="00F6494B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F6494B"/>
    <w:pPr>
      <w:ind w:left="720"/>
      <w:contextualSpacing/>
    </w:pPr>
  </w:style>
  <w:style w:type="paragraph" w:styleId="Corpodetexto">
    <w:name w:val="Body Text"/>
    <w:basedOn w:val="Normal"/>
    <w:link w:val="CorpodetextoChar"/>
    <w:rsid w:val="00F6494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6494B"/>
    <w:rPr>
      <w:rFonts w:ascii="Times New Roman" w:hAnsi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C5FE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C5FE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4D9B3-7202-4011-94FF-9E7EEE12E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AGEFEPE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</dc:creator>
  <cp:lastModifiedBy>Ilka Silva</cp:lastModifiedBy>
  <cp:revision>2</cp:revision>
  <cp:lastPrinted>2015-08-19T12:30:00Z</cp:lastPrinted>
  <dcterms:created xsi:type="dcterms:W3CDTF">2017-03-21T11:53:00Z</dcterms:created>
  <dcterms:modified xsi:type="dcterms:W3CDTF">2017-03-21T11:53:00Z</dcterms:modified>
</cp:coreProperties>
</file>